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AF0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center"/>
        <w:rPr>
          <w:b w:val="0"/>
          <w:bCs w:val="0"/>
          <w:color w:val="2B2B2B"/>
          <w:sz w:val="40"/>
          <w:szCs w:val="40"/>
        </w:rPr>
      </w:pPr>
      <w:r>
        <w:rPr>
          <w:b w:val="0"/>
          <w:bCs w:val="0"/>
          <w:i w:val="0"/>
          <w:iCs w:val="0"/>
          <w:caps w:val="0"/>
          <w:color w:val="2B2B2B"/>
          <w:spacing w:val="0"/>
          <w:sz w:val="40"/>
          <w:szCs w:val="40"/>
          <w:bdr w:val="none" w:color="auto" w:sz="0" w:space="0"/>
          <w:shd w:val="clear" w:fill="FFFFFF"/>
        </w:rPr>
        <w:t>华北电力大学保定校区2025年分省招生计划</w:t>
      </w:r>
    </w:p>
    <w:p w14:paraId="3784DCC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5F5F5" w:sz="6" w:space="26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B2B2B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B6B6B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作者：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B2B2B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B6B6B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发布日期：2025-06-18</w:t>
      </w:r>
    </w:p>
    <w:p w14:paraId="4EC556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158740" cy="6823710"/>
            <wp:effectExtent l="0" t="0" r="3810" b="1524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70500" cy="833755"/>
            <wp:effectExtent l="0" t="0" r="6350" b="444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ED5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2B2B2B"/>
          <w:sz w:val="21"/>
          <w:szCs w:val="21"/>
          <w:bdr w:val="none" w:color="auto" w:sz="0" w:space="0"/>
          <w:shd w:val="clear" w:fill="FFFFFF"/>
        </w:rPr>
        <w:t>分省计划仅供参考，最终计划以各省招生主管部门官方公布为准。</w:t>
      </w:r>
    </w:p>
    <w:p w14:paraId="68887D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 w14:paraId="0BAC52B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76A86"/>
    <w:rsid w:val="44DE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夏至Nano</cp:lastModifiedBy>
  <dcterms:modified xsi:type="dcterms:W3CDTF">2025-11-14T01:25:59Z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eyJoZGlkIjoiMzFkOGU0ZGJiNjQ3ZGIyN2FmOTA5MDc1MGM5YTlmZjEiLCJ1c2VySWQiOiIxMjUyMjY1MTc4In0=</vt:lpwstr>
  </property>
  <property fmtid="{D5CDD505-2E9C-101B-9397-08002B2CF9AE}" pid="4" name="ICV">
    <vt:lpwstr>785F6426C8A0496896C7D68F41F32177_12</vt:lpwstr>
  </property>
</Properties>
</file>